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5E0" w:rsidRPr="00765308" w:rsidRDefault="004455E0" w:rsidP="004455E0">
      <w:pPr>
        <w:tabs>
          <w:tab w:val="left" w:pos="32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0505363" wp14:editId="249BB2C4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E0" w:rsidRPr="00765308" w:rsidRDefault="004455E0" w:rsidP="004455E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:rsidR="004455E0" w:rsidRPr="00765308" w:rsidRDefault="004455E0" w:rsidP="00445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:rsidR="004455E0" w:rsidRPr="00765308" w:rsidRDefault="004455E0" w:rsidP="00445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:rsidR="004455E0" w:rsidRPr="00765308" w:rsidRDefault="004455E0" w:rsidP="004455E0">
      <w:pPr>
        <w:pBdr>
          <w:bottom w:val="single" w:sz="6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:rsidR="00580966" w:rsidRPr="007C570A" w:rsidRDefault="00580966" w:rsidP="004455E0">
      <w:pPr>
        <w:tabs>
          <w:tab w:val="left" w:pos="7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55E0" w:rsidRDefault="004455E0" w:rsidP="004455E0">
      <w:pPr>
        <w:tabs>
          <w:tab w:val="left" w:pos="7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3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455E0" w:rsidRPr="00765308" w:rsidRDefault="004455E0" w:rsidP="00445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1968" w:rsidRPr="00A51968" w:rsidRDefault="00184F28" w:rsidP="00A51968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A51968" w:rsidRPr="00A51968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4455E0" w:rsidRPr="00765308" w:rsidRDefault="004455E0" w:rsidP="00184F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966" w:rsidRPr="007C570A" w:rsidRDefault="00580966" w:rsidP="004455E0">
      <w:pPr>
        <w:spacing w:after="0" w:line="240" w:lineRule="auto"/>
        <w:ind w:right="8"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455E0" w:rsidRPr="004455E0" w:rsidRDefault="004455E0" w:rsidP="004455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4455E0">
        <w:rPr>
          <w:rFonts w:ascii="TimesNewRomanPS-BoldMT" w:hAnsi="TimesNewRomanPS-BoldMT" w:cs="TimesNewRomanPS-BoldMT"/>
          <w:b/>
          <w:bCs/>
          <w:sz w:val="32"/>
          <w:szCs w:val="32"/>
        </w:rPr>
        <w:t>Об утверждении дизайн-код</w:t>
      </w:r>
      <w:r w:rsidR="00AC6B80">
        <w:rPr>
          <w:rFonts w:ascii="TimesNewRomanPS-BoldMT" w:hAnsi="TimesNewRomanPS-BoldMT" w:cs="TimesNewRomanPS-BoldMT"/>
          <w:b/>
          <w:bCs/>
          <w:sz w:val="32"/>
          <w:szCs w:val="32"/>
        </w:rPr>
        <w:t>ов</w:t>
      </w:r>
      <w:r w:rsidRPr="004455E0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МР «Бабаюртовский район»</w:t>
      </w:r>
    </w:p>
    <w:p w:rsidR="004455E0" w:rsidRDefault="004455E0" w:rsidP="004455E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567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4455E0">
        <w:rPr>
          <w:rFonts w:ascii="TimesNewRomanPS-BoldMT" w:hAnsi="TimesNewRomanPS-BoldMT" w:cs="TimesNewRomanPS-BoldMT"/>
          <w:b/>
          <w:bCs/>
          <w:sz w:val="32"/>
          <w:szCs w:val="32"/>
        </w:rPr>
        <w:t>Республики Дагестан</w:t>
      </w:r>
    </w:p>
    <w:p w:rsidR="00580966" w:rsidRPr="007C570A" w:rsidRDefault="00580966" w:rsidP="004455E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567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455E0" w:rsidRPr="00B00DDD" w:rsidRDefault="00580966" w:rsidP="0058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DDD">
        <w:rPr>
          <w:rFonts w:ascii="TimesNewRomanPSMT" w:hAnsi="TimesNewRomanPSMT" w:cs="TimesNewRomanPSMT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455E0" w:rsidRPr="00B00DD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«Бабаюртовский район</w:t>
      </w:r>
      <w:r w:rsidRPr="00B00DDD">
        <w:rPr>
          <w:rFonts w:ascii="Times New Roman" w:hAnsi="Times New Roman" w:cs="Times New Roman"/>
          <w:sz w:val="28"/>
          <w:szCs w:val="28"/>
        </w:rPr>
        <w:t>»</w:t>
      </w:r>
      <w:r w:rsidR="004455E0" w:rsidRPr="00B00DDD">
        <w:rPr>
          <w:rFonts w:ascii="Times New Roman" w:hAnsi="Times New Roman" w:cs="Times New Roman"/>
          <w:sz w:val="28"/>
          <w:szCs w:val="28"/>
        </w:rPr>
        <w:t>,</w:t>
      </w:r>
      <w:r w:rsidR="004455E0" w:rsidRPr="00B00DD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</w:t>
      </w:r>
      <w:r w:rsidR="004455E0" w:rsidRPr="00B00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455E0" w:rsidRPr="007C570A" w:rsidRDefault="004455E0" w:rsidP="004455E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455E0" w:rsidRPr="00B00DDD" w:rsidRDefault="004455E0" w:rsidP="00445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DDD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</w:t>
      </w:r>
      <w:r w:rsidR="00AC6B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0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DDD">
        <w:rPr>
          <w:rFonts w:ascii="TimesNewRomanPS-BoldMT" w:hAnsi="TimesNewRomanPS-BoldMT" w:cs="TimesNewRomanPS-BoldMT"/>
          <w:bCs/>
          <w:sz w:val="28"/>
          <w:szCs w:val="28"/>
        </w:rPr>
        <w:t>дизайн-код</w:t>
      </w:r>
      <w:r w:rsidR="00AC6B80">
        <w:rPr>
          <w:rFonts w:ascii="TimesNewRomanPS-BoldMT" w:hAnsi="TimesNewRomanPS-BoldMT" w:cs="TimesNewRomanPS-BoldMT"/>
          <w:bCs/>
          <w:sz w:val="28"/>
          <w:szCs w:val="28"/>
        </w:rPr>
        <w:t>ы</w:t>
      </w:r>
      <w:r w:rsidRPr="00B00DD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580966" w:rsidRPr="00B00DDD">
        <w:rPr>
          <w:rFonts w:ascii="TimesNewRomanPS-BoldMT" w:hAnsi="TimesNewRomanPS-BoldMT" w:cs="TimesNewRomanPS-BoldMT"/>
          <w:bCs/>
          <w:sz w:val="28"/>
          <w:szCs w:val="28"/>
        </w:rPr>
        <w:t>муниципального района</w:t>
      </w:r>
      <w:r w:rsidRPr="00B00DDD">
        <w:rPr>
          <w:rFonts w:ascii="TimesNewRomanPS-BoldMT" w:hAnsi="TimesNewRomanPS-BoldMT" w:cs="TimesNewRomanPS-BoldMT"/>
          <w:bCs/>
          <w:sz w:val="28"/>
          <w:szCs w:val="28"/>
        </w:rPr>
        <w:t xml:space="preserve"> «Бабаюртовский район» Республики Дагестан</w:t>
      </w:r>
      <w:r w:rsidRPr="00B00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5E0" w:rsidRPr="007C570A" w:rsidRDefault="004455E0" w:rsidP="00445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0DD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C570A">
        <w:rPr>
          <w:rFonts w:ascii="TimesNewRomanPSMT" w:hAnsi="TimesNewRomanPSMT" w:cs="TimesNewRomanPSMT"/>
          <w:sz w:val="28"/>
          <w:szCs w:val="28"/>
        </w:rPr>
        <w:t xml:space="preserve">Структурным подразделениям и органам администрации МР «Бабаюртовский район» с правами юридического лица, главам 15 муниципальных образований сельских поселений, ответственным за разработку муниципальных правовых актов, регулирующих отношения, связанные с размещением и эксплуатацией средств наружной информации, рекламных конструкций и элементов благоустройства, руководствоваться </w:t>
      </w:r>
      <w:r w:rsidR="00AC6B80">
        <w:rPr>
          <w:rFonts w:ascii="TimesNewRomanPSMT" w:hAnsi="TimesNewRomanPSMT" w:cs="TimesNewRomanPSMT"/>
          <w:sz w:val="28"/>
          <w:szCs w:val="28"/>
        </w:rPr>
        <w:t>настоящими</w:t>
      </w:r>
      <w:r w:rsidRPr="007C570A">
        <w:rPr>
          <w:rFonts w:ascii="TimesNewRomanPSMT" w:hAnsi="TimesNewRomanPSMT" w:cs="TimesNewRomanPSMT"/>
          <w:sz w:val="28"/>
          <w:szCs w:val="28"/>
        </w:rPr>
        <w:t xml:space="preserve"> дизайн-кода</w:t>
      </w:r>
      <w:r w:rsidR="00AC6B80">
        <w:rPr>
          <w:rFonts w:ascii="TimesNewRomanPSMT" w:hAnsi="TimesNewRomanPSMT" w:cs="TimesNewRomanPSMT"/>
          <w:sz w:val="28"/>
          <w:szCs w:val="28"/>
        </w:rPr>
        <w:t>ми</w:t>
      </w:r>
      <w:r w:rsidRPr="007C570A">
        <w:rPr>
          <w:rFonts w:ascii="TimesNewRomanPSMT" w:hAnsi="TimesNewRomanPSMT" w:cs="TimesNewRomanPSMT"/>
          <w:sz w:val="28"/>
          <w:szCs w:val="28"/>
        </w:rPr>
        <w:t>.</w:t>
      </w:r>
    </w:p>
    <w:p w:rsidR="004455E0" w:rsidRDefault="004455E0" w:rsidP="004455E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4455E0" w:rsidRDefault="004455E0" w:rsidP="004455E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455E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7" w:history="1">
        <w:r w:rsidRPr="004455E0">
          <w:rPr>
            <w:rStyle w:val="a3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https://бабаюртовскийрайон.рф/</w:t>
        </w:r>
      </w:hyperlink>
      <w:r w:rsidRPr="004455E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55E0" w:rsidRPr="004455E0" w:rsidRDefault="004455E0" w:rsidP="004455E0">
      <w:pPr>
        <w:tabs>
          <w:tab w:val="left" w:pos="709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567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4455E0">
        <w:rPr>
          <w:rFonts w:ascii="Times New Roman" w:hAnsi="Times New Roman" w:cs="Times New Roman"/>
          <w:color w:val="000000"/>
          <w:sz w:val="28"/>
          <w:szCs w:val="28"/>
        </w:rPr>
        <w:t>5. Контроль исполнени</w:t>
      </w:r>
      <w:r w:rsidR="007C57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455E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7C570A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4455E0" w:rsidRDefault="004455E0" w:rsidP="004455E0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570A" w:rsidRDefault="007C570A" w:rsidP="004455E0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6B80" w:rsidRPr="00AC6B80" w:rsidRDefault="00AC6B80" w:rsidP="004455E0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 w:firstLine="567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56010D" w:rsidRPr="0056010D" w:rsidRDefault="0056010D" w:rsidP="005601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010D">
        <w:rPr>
          <w:rFonts w:ascii="Times New Roman" w:hAnsi="Times New Roman" w:cs="Times New Roman"/>
          <w:b/>
          <w:sz w:val="32"/>
          <w:szCs w:val="32"/>
        </w:rPr>
        <w:t xml:space="preserve">И.о. главы </w:t>
      </w:r>
    </w:p>
    <w:p w:rsidR="0056010D" w:rsidRPr="0056010D" w:rsidRDefault="0056010D" w:rsidP="005601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010D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У.А.Савкатов</w:t>
      </w:r>
      <w:proofErr w:type="spellEnd"/>
    </w:p>
    <w:p w:rsidR="007C570A" w:rsidRDefault="007C570A" w:rsidP="004455E0">
      <w:pPr>
        <w:spacing w:after="0"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:rsidR="004455E0" w:rsidRPr="00525A86" w:rsidRDefault="004455E0" w:rsidP="004455E0">
      <w:pPr>
        <w:spacing w:after="0"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  <w:r w:rsidRPr="00525A86">
        <w:rPr>
          <w:rFonts w:ascii="Times New Roman" w:hAnsi="Times New Roman" w:cs="Times New Roman"/>
          <w:sz w:val="18"/>
          <w:szCs w:val="18"/>
        </w:rPr>
        <w:lastRenderedPageBreak/>
        <w:t>Куватов Н.А.</w:t>
      </w:r>
    </w:p>
    <w:p w:rsidR="004455E0" w:rsidRPr="00525A86" w:rsidRDefault="004455E0" w:rsidP="004455E0">
      <w:pPr>
        <w:tabs>
          <w:tab w:val="left" w:pos="8505"/>
        </w:tabs>
        <w:spacing w:after="0" w:line="240" w:lineRule="auto"/>
        <w:ind w:left="-142" w:right="-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25A86">
        <w:rPr>
          <w:rFonts w:ascii="Times New Roman" w:hAnsi="Times New Roman" w:cs="Times New Roman"/>
          <w:sz w:val="18"/>
          <w:szCs w:val="18"/>
        </w:rPr>
        <w:t>8</w:t>
      </w:r>
      <w:r w:rsidRPr="00744B7B">
        <w:rPr>
          <w:rFonts w:ascii="Times New Roman" w:hAnsi="Times New Roman" w:cs="Times New Roman"/>
          <w:sz w:val="18"/>
          <w:szCs w:val="18"/>
        </w:rPr>
        <w:t> </w:t>
      </w:r>
      <w:r w:rsidRPr="00525A86">
        <w:rPr>
          <w:rFonts w:ascii="Times New Roman" w:hAnsi="Times New Roman" w:cs="Times New Roman"/>
          <w:sz w:val="18"/>
          <w:szCs w:val="18"/>
        </w:rPr>
        <w:t>928</w:t>
      </w:r>
      <w:r w:rsidRPr="00744B7B">
        <w:rPr>
          <w:rFonts w:ascii="Times New Roman" w:hAnsi="Times New Roman" w:cs="Times New Roman"/>
          <w:sz w:val="18"/>
          <w:szCs w:val="18"/>
        </w:rPr>
        <w:t> </w:t>
      </w:r>
      <w:r w:rsidRPr="00525A86">
        <w:rPr>
          <w:rFonts w:ascii="Times New Roman" w:hAnsi="Times New Roman" w:cs="Times New Roman"/>
          <w:sz w:val="18"/>
          <w:szCs w:val="18"/>
        </w:rPr>
        <w:t>572 31 75</w:t>
      </w:r>
    </w:p>
    <w:p w:rsidR="007E20C3" w:rsidRPr="007E20C3" w:rsidRDefault="007E20C3" w:rsidP="007E20C3">
      <w:pPr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7E20C3">
        <w:rPr>
          <w:rFonts w:ascii="Times New Roman" w:hAnsi="Times New Roman" w:cs="Times New Roman"/>
          <w:sz w:val="24"/>
          <w:szCs w:val="24"/>
        </w:rPr>
        <w:t>Приложение</w:t>
      </w:r>
    </w:p>
    <w:p w:rsidR="007E20C3" w:rsidRPr="007E20C3" w:rsidRDefault="007E20C3" w:rsidP="007E20C3">
      <w:pPr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7E20C3">
        <w:rPr>
          <w:rFonts w:ascii="Times New Roman" w:hAnsi="Times New Roman" w:cs="Times New Roman"/>
          <w:sz w:val="24"/>
          <w:szCs w:val="24"/>
        </w:rPr>
        <w:t>УТВЕРЖДЕН</w:t>
      </w:r>
    </w:p>
    <w:p w:rsidR="007E20C3" w:rsidRPr="007E20C3" w:rsidRDefault="007E20C3" w:rsidP="007E20C3">
      <w:pPr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7E20C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E20C3" w:rsidRPr="007E20C3" w:rsidRDefault="007E20C3" w:rsidP="007E20C3">
      <w:pPr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7E20C3">
        <w:rPr>
          <w:rFonts w:ascii="Times New Roman" w:hAnsi="Times New Roman" w:cs="Times New Roman"/>
          <w:sz w:val="24"/>
          <w:szCs w:val="24"/>
        </w:rPr>
        <w:t xml:space="preserve"> МР «Бабаюртовский район»</w:t>
      </w:r>
    </w:p>
    <w:p w:rsidR="00A51968" w:rsidRPr="00A51968" w:rsidRDefault="00A51968" w:rsidP="00A5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1968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:rsidR="007E20C3" w:rsidRPr="007E20C3" w:rsidRDefault="007E20C3" w:rsidP="007E20C3">
      <w:pPr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ДИЗАЙН-КОД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МР «Бабаюртовский район»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СОДЕРЖАНИЕ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Элементы информационного характера (вывески, информационные таблички, пилоны, рекламные конструкции).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1.1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элементам информационного характера на фасадах зданий, строений и сооружений.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1.2.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наружной рекламе (рекламным конструкциям).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2.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Аншлаги и указатели.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3.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вывескам и их размещению на объектах культурного наследия (памятниках истории и архитектуры).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4.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Рекомендации по решениям в области благоустройства.</w:t>
      </w: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ТЕРМИНОЛОГИЯ</w:t>
      </w:r>
    </w:p>
    <w:p w:rsidR="007E20C3" w:rsidRDefault="007E20C3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Аншлаг </w:t>
      </w:r>
      <w:r>
        <w:rPr>
          <w:rFonts w:ascii="TimesNewRomanPSMT" w:hAnsi="TimesNewRomanPSMT" w:cs="TimesNewRomanPSMT"/>
          <w:sz w:val="28"/>
          <w:szCs w:val="28"/>
        </w:rPr>
        <w:t>– указатель с наименованиями улиц, переулков, площадей и номерами домов;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Фасад </w:t>
      </w:r>
      <w:r>
        <w:rPr>
          <w:rFonts w:ascii="TimesNewRomanPSMT" w:hAnsi="TimesNewRomanPSMT" w:cs="TimesNewRomanPSMT"/>
          <w:sz w:val="28"/>
          <w:szCs w:val="28"/>
        </w:rPr>
        <w:t>– наружная сторона здания, строения или сооружения. Различают главный фасад, боковой фасад, дворовый фасад;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Детали и элементы фасада – </w:t>
      </w:r>
      <w:r>
        <w:rPr>
          <w:rFonts w:ascii="TimesNewRomanPSMT" w:hAnsi="TimesNewRomanPSMT" w:cs="TimesNewRomanPSMT"/>
          <w:sz w:val="28"/>
          <w:szCs w:val="28"/>
        </w:rPr>
        <w:t>балконы, лоджии, водоотводящие устройства, окна, двери, ограждения, входные группы, козырьки, витрины, элементы информационного характера;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Дополнительное оборудование фасада </w:t>
      </w:r>
      <w:r>
        <w:rPr>
          <w:rFonts w:ascii="TimesNewRomanPSMT" w:hAnsi="TimesNewRomanPSMT" w:cs="TimesNewRomanPSMT"/>
          <w:sz w:val="28"/>
          <w:szCs w:val="28"/>
        </w:rPr>
        <w:t>– системы технического обеспечения внутренней эксплуатации зданий;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Вывеска </w:t>
      </w:r>
      <w:r w:rsidR="007E20C3"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размещаемая на фасадах зданий информационная конструкция, выполняющая функцию информирования населения, являющаяся информационной надписью и обозначением, а также не являющаяся рекламой. Размещается на фасадах зданий, строений и сооружений в месте фактического нахождения или осуществления деятельности организации, индивидуального предпринимателя, граждан;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Консольная вывеска </w:t>
      </w:r>
      <w:r>
        <w:rPr>
          <w:rFonts w:ascii="TimesNewRomanPSMT" w:hAnsi="TimesNewRomanPSMT" w:cs="TimesNewRomanPSMT"/>
          <w:sz w:val="28"/>
          <w:szCs w:val="28"/>
        </w:rPr>
        <w:t>– вывеска, располагаемая перпендикулярно к поверхности фасадов и (или) его конструктивных элементов;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Настенная вывеска </w:t>
      </w:r>
      <w:r>
        <w:rPr>
          <w:rFonts w:ascii="TimesNewRomanPSMT" w:hAnsi="TimesNewRomanPSMT" w:cs="TimesNewRomanPSMT"/>
          <w:sz w:val="28"/>
          <w:szCs w:val="28"/>
        </w:rPr>
        <w:t>- вывеска, располагаемая параллельно к поверхности фасада и (или) его конструктивным элементам;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Рекламные конструкции </w:t>
      </w:r>
      <w:r>
        <w:rPr>
          <w:rFonts w:ascii="TimesNewRomanPSMT" w:hAnsi="TimesNewRomanPSMT" w:cs="TimesNewRomanPSMT"/>
          <w:sz w:val="28"/>
          <w:szCs w:val="28"/>
        </w:rPr>
        <w:t>– элементы информационного характера, предназначенные для распространения рекламы, социальной рекламы;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Суперграфика </w:t>
      </w:r>
      <w:r>
        <w:rPr>
          <w:rFonts w:ascii="TimesNewRomanPSMT" w:hAnsi="TimesNewRomanPSMT" w:cs="TimesNewRomanPSMT"/>
          <w:sz w:val="28"/>
          <w:szCs w:val="28"/>
        </w:rPr>
        <w:t>– изображение, цветовые пятна или орнаменты, которые наносятся на фасад зданий, строений и сооружений для придания им архитектурной выразительности;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Территории общего пользования </w:t>
      </w:r>
      <w:r>
        <w:rPr>
          <w:rFonts w:ascii="TimesNewRomanPSMT" w:hAnsi="TimesNewRomanPSMT" w:cs="TimesNewRomanPSMT"/>
          <w:sz w:val="28"/>
          <w:szCs w:val="28"/>
        </w:rPr>
        <w:t>– не закрытые для общего доступа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 и другие);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Элемент информационного характера </w:t>
      </w:r>
      <w:r>
        <w:rPr>
          <w:rFonts w:ascii="TimesNewRomanPSMT" w:hAnsi="TimesNewRomanPSMT" w:cs="TimesNewRomanPSMT"/>
          <w:sz w:val="28"/>
          <w:szCs w:val="28"/>
        </w:rPr>
        <w:t>– элемент благоустройства, выполняющий функцию информирования и адресованный неопределенному кругу лиц. Предназначен для распространения: сведений о профиле деятельности организации, индивидуального предпринимателя и (или) виде реализуемых ими товаров, оказываемых услуг и (или) их наименование, иных сведений, размещаемых в случаях, предусмотренных законодательством о защите прав потребителей, рекламы, социальной рекламы. К элементам информационного характера относятся в том числе вывески, информационные таблички, пилоны, рекламные конструкции;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Сведения, размещаемые в случаях, предусмотренных Законом Российской Федерации от 07 февраля 1992 г. № 2300-1 «О защите прав потребителей» - </w:t>
      </w:r>
      <w:r>
        <w:rPr>
          <w:rFonts w:ascii="TimesNewRomanPSMT" w:hAnsi="TimesNewRomanPSMT" w:cs="TimesNewRomanPSMT"/>
          <w:sz w:val="28"/>
          <w:szCs w:val="28"/>
        </w:rPr>
        <w:t>Для изготовителя (исполнителя, продавца): фирменное наименование (наименование) своей организации, место ее нахождения (адрес) и режим ее работы. Для изготовителя (исполнителя, продавца) – индивидуального предпринимателя дополнительно: информация о государственной регистрации и наименовании зарегистрировавшего его органа. Для изготовителя (продавца): фирменное наименование (наименование), место нахождения (адрес) и режим работы уполномоченной организации или уполномоченного индивидуального предпринимателя.</w:t>
      </w: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1.</w:t>
      </w:r>
    </w:p>
    <w:p w:rsidR="007E20C3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ЭЛЕМЕНТЫ ИНФОРМАЦИОННОГО ХАРАКТЕРА (ВЫВЕСКИ, ИНФОРМАЦИОННЫЕ ТАБЛИЧКИ, ПИЛОНЫ, РЕКЛАМНЫЕ КОНСТРУКЦИИ) </w:t>
      </w: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ОБЩИЕ ТРЕБОВАНИЯ</w:t>
      </w: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допускается размещение элементов информационного характера, типы и виды которых не предусмотрены в данном разделе.</w:t>
      </w: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Текстовая информация, содержащаяся на элементах информационного характера, на фасадах зданий, строений и сооружений должна размещаться с обязательным использованием государственного языка Российской Федерации, за исключением размещения наименований (фирменного наименования, </w:t>
      </w:r>
      <w:r>
        <w:rPr>
          <w:rFonts w:ascii="TimesNewRomanPSMT" w:hAnsi="TimesNewRomanPSMT" w:cs="TimesNewRomanPSMT"/>
          <w:sz w:val="28"/>
          <w:szCs w:val="28"/>
        </w:rPr>
        <w:lastRenderedPageBreak/>
        <w:t>изображения товарного знака, знака обслуживания) на иностранном языке, зарегистрированных в соответствии с законодательством Российской Федерации.</w:t>
      </w: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Элементы информационного характера, размещаемые на фасадах зданий, строений и сооружений, не должны нарушать внешний архитектурно-градостроительный облик сложившейся застройки и соответствовать стилистике здания, строения и сооружения на фасаде, которого они размещаются.</w:t>
      </w: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Колористическое решение элементов информационного характера (фон, буквы, цифры, рамки) на фасадах зданий, строений и сооружений не должно диссонировать с общим колористическим решением фасадов зданий, строений и сооружений.</w:t>
      </w: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Допускается использование индивидуальных колористических решений на элементах информационного характера для размещения товарных знаков и знаков обслуживания, зарегистрированных в установленном законодательством порядке.</w:t>
      </w:r>
    </w:p>
    <w:p w:rsidR="007E20C3" w:rsidRDefault="007E20C3" w:rsidP="00E64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ОБЩИЕ ЗАПРЕТЫ.</w:t>
      </w: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НОСИТЕЛИ И ИНФОРМАЦИЯ.</w:t>
      </w:r>
    </w:p>
    <w:p w:rsidR="007E20C3" w:rsidRDefault="007E20C3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Запрещается: устройство в витрине электронных экранов на остеклении витрины, покрытие декоративными пленками поверхности остекления витрин, замена остекления витрин иными материалами размещение афиш, объявлений, плакатов и другой информационно-печатной продукции.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Запрещается: размещение элементов информационного характера о деятельности организаций, предоставляющих ритуальные услуги, на фасадах зданий, в которых расположены: органы государственной власти и местного самоуправления; государственные, муниципальные организации (за исключением специализированных служб по вопросам похоронного дела);</w:t>
      </w:r>
      <w:r w:rsidR="009654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образования, культуры, спорта, здравоохранения; размещение элементов информационного характера в отношении предоставления ритуальных услуг и реализации похоронных принадлежностей: вне места нахождения нежилых зданий (помещений), используемых для предоставления услуг по ритуальному (похоронному) обслуживанию населения с соблюдением требований законодательства о градостроительной деятельности и земельного законодательства.</w:t>
      </w:r>
    </w:p>
    <w:p w:rsidR="00965424" w:rsidRDefault="00965424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1.1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ЭЛЕМЕНТАМ ИНФОРМАЦИОННОГО ХАРАКТЕРА НА ФАСАДАХ ЗДАНИЙ, СТРОЕНИЙ И СООРУЖЕНИЙ</w:t>
      </w:r>
    </w:p>
    <w:p w:rsidR="00E64902" w:rsidRDefault="00E64902" w:rsidP="00E64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Ответственность за соответствие требованиям, правильное размещение, ремонт и содержание вывесок и рекламных конструкций, размещаемых на фасадах зданий, строений и сооружений несут: организации, индивидуальные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предприниматели, граждане, которые являются собственниками (правообладателями) данных элементов информационного характера.</w:t>
      </w:r>
    </w:p>
    <w:p w:rsidR="00224192" w:rsidRPr="00224192" w:rsidRDefault="0022419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56010D" w:rsidRDefault="0056010D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6010D" w:rsidRDefault="0056010D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2419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ВИДЫ ЭЛЕМЕНТОВ ИНФОРМАЦИОННОГО ХАРАКТЕРА</w:t>
      </w:r>
    </w:p>
    <w:p w:rsidR="007E20C3" w:rsidRPr="00224192" w:rsidRDefault="007E20C3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На фасаде одного здания, строения и сооружения организация,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индивидуальный предприниматель вправе установить не более одного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элемента информационного характера одного из следующих типов: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-BoldMT" w:hAnsi="TimesNewRomanPS-BoldMT" w:cs="TimesNewRomanPS-BoldMT"/>
          <w:b/>
          <w:bCs/>
          <w:sz w:val="24"/>
          <w:szCs w:val="24"/>
        </w:rPr>
        <w:t>НАСТЕННОЕ ПАННО</w:t>
      </w:r>
      <w:r w:rsidRPr="00224192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224192">
        <w:rPr>
          <w:rFonts w:ascii="TimesNewRomanPSMT" w:hAnsi="TimesNewRomanPSMT" w:cs="TimesNewRomanPSMT"/>
          <w:bCs/>
          <w:sz w:val="28"/>
          <w:szCs w:val="28"/>
        </w:rPr>
        <w:t>–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конструкция элементов информационного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характера, располагаемая на плоскости стен зданий или сооружений в виде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конструкции, состоящей из каркаса, одного информационного поля 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элементов крепления, либо представляющая собой изображение,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непосредственно нанесенное на поверхность стены;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-BoldMT" w:hAnsi="TimesNewRomanPS-BoldMT" w:cs="TimesNewRomanPS-BoldMT"/>
          <w:b/>
          <w:bCs/>
          <w:sz w:val="24"/>
          <w:szCs w:val="24"/>
        </w:rPr>
        <w:t>КОНСОЛЬНАЯ КОНСТРУКЦИЯ</w:t>
      </w:r>
      <w:r w:rsidRPr="00224192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224192">
        <w:rPr>
          <w:rFonts w:ascii="TimesNewRomanPSMT" w:hAnsi="TimesNewRomanPSMT" w:cs="TimesNewRomanPSMT"/>
          <w:bCs/>
          <w:sz w:val="24"/>
          <w:szCs w:val="24"/>
        </w:rPr>
        <w:t>–</w:t>
      </w:r>
      <w:r w:rsidRPr="0022419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конструкция элементов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информационного характера располагается перпендикулярно к поверхности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фасадов зданий, строений и сооружений и (или) их конструктивных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элементов).</w:t>
      </w:r>
    </w:p>
    <w:p w:rsidR="00224192" w:rsidRPr="00224192" w:rsidRDefault="0022419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24192">
        <w:rPr>
          <w:rFonts w:ascii="TimesNewRomanPS-BoldMT" w:hAnsi="TimesNewRomanPS-BoldMT" w:cs="TimesNewRomanPS-BoldMT"/>
          <w:b/>
          <w:bCs/>
          <w:sz w:val="24"/>
          <w:szCs w:val="24"/>
        </w:rPr>
        <w:t>РАЗМЕЩЕНИЕ, ЗАПРЕТЫ.</w:t>
      </w:r>
    </w:p>
    <w:p w:rsidR="007E20C3" w:rsidRPr="00224192" w:rsidRDefault="007E20C3" w:rsidP="007E20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При размещении на одном фасаде элементов информационного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характера нескольких организаций одновременно, размещение производится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в один высотный ряд на единой горизонтальной линии (на одном уровне,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высоте) над входом или окнами (витринами) помещений не выше линии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перекрытий между первым и вторым этажами. Высота декоративно-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художественных элементов не должна превышать высоту информационного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поля (текстовой части) элемента информационного характера более чем в 1,5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раза. Подсветка элемента информационного характера должна иметь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немерцающий, приглушенный свет, не создавать прямых направленных лучей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в окна жилых помещений.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Запрещается размещение элементов информационного характера: выше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линии второго этажа (линии перекрытий между первым и вторым этажами).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При невозможности визуально определить линию перекрытий между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первым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и вторым этажами не допускается размещение элементов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информационного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характера на расстоянии менее 0,7 м ниже линии окон второго этажа на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боковых фасадах, не имеющих оконных и дверных проемов, за исключением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электронных табло (светодиодных экранов) в оконных и дверных проемах,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светопрозрачных фасадных конструкциях, витражах, витринах на крышах,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лоджиях и балконах, на архитектурных деталях фасада, перекрывающих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оконные и дверные проемы,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светопрозрачные фасадные конструкции,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витражи на расстоянии ближе чем 2 метра от мемориальных досок с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вертикальным расположение букв.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Элементы информационного характера размещаются над окнами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подвального или цокольного этажа, но не ниже 0,60 м от уровня земли до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нижнего края настенного панно. При этом элемент информационного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характера не должен выступать от плоскости фасада более чем на 0,10 м.</w:t>
      </w:r>
    </w:p>
    <w:p w:rsidR="007E20C3" w:rsidRPr="00224192" w:rsidRDefault="007E20C3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E64902" w:rsidRDefault="00E64902" w:rsidP="007E20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24192">
        <w:rPr>
          <w:rFonts w:ascii="TimesNewRomanPS-BoldMT" w:hAnsi="TimesNewRomanPS-BoldMT" w:cs="TimesNewRomanPS-BoldMT"/>
          <w:b/>
          <w:bCs/>
          <w:sz w:val="24"/>
          <w:szCs w:val="24"/>
        </w:rPr>
        <w:t>КОНСОЛЬНЫЕ КОНСТРУКЦИИ</w:t>
      </w:r>
    </w:p>
    <w:p w:rsidR="007E20C3" w:rsidRPr="00224192" w:rsidRDefault="007E20C3" w:rsidP="007E20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Консольные конструкции располагаются в одной горизонтальной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плоскости фасада, у арок, на границах и внешних углах зданий, строений 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сооружений в соответствии со следующими требованиями:</w:t>
      </w:r>
    </w:p>
    <w:p w:rsidR="00E64902" w:rsidRPr="00224192" w:rsidRDefault="00224192" w:rsidP="00F62FC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–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расстояние между консольными конструкциями не может быть менее 10 м.</w:t>
      </w:r>
      <w:r>
        <w:rPr>
          <w:rFonts w:ascii="TimesNewRomanPSMT" w:hAnsi="TimesNewRomanPSMT" w:cs="TimesNewRomanPSMT"/>
          <w:bCs/>
          <w:sz w:val="28"/>
          <w:szCs w:val="28"/>
        </w:rPr>
        <w:t>;</w:t>
      </w:r>
    </w:p>
    <w:p w:rsidR="00E64902" w:rsidRPr="00224192" w:rsidRDefault="0022419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– р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асстояние от уровня земли до нижнего края консольной конструкции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должно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быть не менее 2,50 м консольная конструкция не должна находиться более чем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на 0,20 м от края фасада, а крайняя точка ее лицевой стороны - на расстоянии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более чем 1 м от плоскости фасада в высоту консольная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конструкция не может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превышать 1 м консольные конструкции располагаются на фасаде зданий,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224192">
        <w:rPr>
          <w:rFonts w:ascii="TimesNewRomanPSMT" w:hAnsi="TimesNewRomanPSMT" w:cs="TimesNewRomanPSMT"/>
          <w:bCs/>
          <w:sz w:val="28"/>
          <w:szCs w:val="28"/>
        </w:rPr>
        <w:t>строений и сооружений на единой горизонтальной оси с настенным панно.</w:t>
      </w:r>
    </w:p>
    <w:p w:rsidR="00224192" w:rsidRDefault="00224192" w:rsidP="002241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64902" w:rsidRDefault="00E64902" w:rsidP="002241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1.2</w:t>
      </w:r>
    </w:p>
    <w:p w:rsidR="00E64902" w:rsidRDefault="00E64902" w:rsidP="002241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ТРЕБОВАНИЯК НАРУЖНОЙ РЕКЛАМЕ</w:t>
      </w:r>
    </w:p>
    <w:p w:rsidR="00E64902" w:rsidRDefault="00E64902" w:rsidP="002241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(РЕКЛАМНЫМ КОНСТРУКЦИЯМ)</w:t>
      </w:r>
    </w:p>
    <w:p w:rsidR="00224192" w:rsidRDefault="00224192" w:rsidP="002241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Щитовая конструкция 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>–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средство размещения наружной рекламы, в том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числе в объемно-пространственном исполнении, состоящее из фундамента,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несущего элемента, каркаса и информационного поля. Площадь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информационного поля щитовой конструкции определяется общей площадью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ее сторон. Могут эксплуатироваться со сменной рекламной информацией. Не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должны превышать уровень шума, установленный санитарными нормами,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создавать шум в ночное время (с 23 час. 00 мин. до 7 час. 00 мин.). Обратная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сторона щитовых конструкций, выполненных в одностороннем варианте,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должна быть закрыта светлым фоном. Фундаменты щитовых конструкций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должны быть заглублены на 15-20 см ниже уровня грунта.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Кронштейн 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>–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плоскостное или объемно-пространственное консольное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средство размещения наружной рекламы, устанавливаемое на фасаде здания.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224192">
        <w:rPr>
          <w:rFonts w:ascii="TimesNewRomanPSMT" w:hAnsi="TimesNewRomanPSMT" w:cs="TimesNewRomanPSMT"/>
          <w:bCs/>
          <w:sz w:val="28"/>
          <w:szCs w:val="28"/>
        </w:rPr>
        <w:t>Не допускается установка кронштейнов без внутренней подсветки на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магистралях, а также над входами в здание.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Электронное табло (светодиодный экран) 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>–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рекламная конструкция,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размещаемая на опоре или на поверхности стен зданий, строений и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сооружений или на крыше, состоящая из электронно-светового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оборудования,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позволяющего демонстрировать информационные материалы. Размер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электронного табло (светодиодного экрана) определяется индивидуально на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основании проекта в зависимости от архитектуры здания и окружающих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архитектурных стилевых ансамблей, а электронного табло (светодиодного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экрана) на опоре – размером демонстрируемого изображения.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Настенное панно </w:t>
      </w:r>
      <w:r w:rsidR="00224192" w:rsidRPr="00224192">
        <w:rPr>
          <w:rFonts w:ascii="TimesNewRomanPSMT" w:hAnsi="TimesNewRomanPSMT" w:cs="TimesNewRomanPSMT"/>
          <w:bCs/>
          <w:sz w:val="28"/>
          <w:szCs w:val="28"/>
        </w:rPr>
        <w:t>–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 средство размещения наружной рекламы, располагаемое</w:t>
      </w:r>
      <w:r w:rsid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на плоскости стен зданий или сооружений в виде конструкции, состоящей из</w:t>
      </w:r>
      <w:r w:rsid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каркаса, одного информационного поля и элементов крепления, либо</w:t>
      </w:r>
      <w:r w:rsid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представляющее собой изображение, непосредственно нанесенное на</w:t>
      </w:r>
      <w:r w:rsid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поверхность стены. Площадь информационного поля определяется общей</w:t>
      </w:r>
      <w:r w:rsidR="00224192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площадью информационного поля или нанесенного изображения.</w:t>
      </w:r>
    </w:p>
    <w:p w:rsidR="00E64902" w:rsidRPr="0022419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7E20C3">
        <w:rPr>
          <w:rFonts w:ascii="TimesNewRomanPSMT" w:hAnsi="TimesNewRomanPSMT" w:cs="TimesNewRomanPSMT"/>
          <w:bCs/>
          <w:sz w:val="28"/>
          <w:szCs w:val="28"/>
        </w:rPr>
        <w:t>Требования к размещению: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единство параметров и высоты размещения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различных рекламных конструкций на всем протяжении фасада здания, при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этом общая площадь настенных панно, размещаемых на фасаде здания, не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должна превышать 5% площади фасада здания размещение по всей ширине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фасада на боковом фасаде здания, при этом края настенного панно не должны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 xml:space="preserve">выходить за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пределы фасадной плоскости настенные панно площадью &gt; 12 </w:t>
      </w:r>
      <w:proofErr w:type="spellStart"/>
      <w:r w:rsidRPr="00224192">
        <w:rPr>
          <w:rFonts w:ascii="TimesNewRomanPSMT" w:hAnsi="TimesNewRomanPSMT" w:cs="TimesNewRomanPSMT"/>
          <w:bCs/>
          <w:sz w:val="28"/>
          <w:szCs w:val="28"/>
        </w:rPr>
        <w:t>кв.м</w:t>
      </w:r>
      <w:proofErr w:type="spellEnd"/>
      <w:r w:rsidRPr="00224192">
        <w:rPr>
          <w:rFonts w:ascii="TimesNewRomanPSMT" w:hAnsi="TimesNewRomanPSMT" w:cs="TimesNewRomanPSMT"/>
          <w:bCs/>
          <w:sz w:val="28"/>
          <w:szCs w:val="28"/>
        </w:rPr>
        <w:t>, а также электронные табло (светодиодные экраны) размещаются только на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боковых фасадах зданий, не имеющих архитектурно-конструктивных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элементов стен: оконных проемов, балконов, лоджий, эркеров, рельефных и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24192">
        <w:rPr>
          <w:rFonts w:ascii="TimesNewRomanPSMT" w:hAnsi="TimesNewRomanPSMT" w:cs="TimesNewRomanPSMT"/>
          <w:bCs/>
          <w:sz w:val="28"/>
          <w:szCs w:val="28"/>
        </w:rPr>
        <w:t>цветовых композиционных решений плоскости.</w:t>
      </w:r>
    </w:p>
    <w:p w:rsidR="00E64902" w:rsidRPr="00B473D5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7E20C3">
        <w:rPr>
          <w:rFonts w:ascii="TimesNewRomanPSMT" w:hAnsi="TimesNewRomanPSMT" w:cs="TimesNewRomanPSMT"/>
          <w:bCs/>
          <w:sz w:val="28"/>
          <w:szCs w:val="28"/>
        </w:rPr>
        <w:t>Запрещается: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прикрепление бескаркасных настенных панно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непосредственно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к фасаду здания размещение панно на произведениях монументально-декоративного искусства (художественные панно, суперграфика, рельефы,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мозаика и др.), а также закрывающих остекление витрин и окон размещение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выше линии второго этажа (линии перекрытий между первым и вторым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этажами) зданий. При невозможности визуально определить линию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перекрытий между первым и вторым этажами рекламные конструкции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должны размещаться на расстоянии не менее чем на 0,7 метра ниже линии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окон второго этажа зданий.</w:t>
      </w:r>
    </w:p>
    <w:p w:rsidR="00E64902" w:rsidRPr="00B473D5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Крышная установка </w:t>
      </w:r>
      <w:r w:rsidR="00B473D5" w:rsidRPr="00B473D5">
        <w:rPr>
          <w:rFonts w:ascii="TimesNewRomanPSMT" w:hAnsi="TimesNewRomanPSMT" w:cs="TimesNewRomanPSMT"/>
          <w:bCs/>
          <w:sz w:val="28"/>
          <w:szCs w:val="28"/>
        </w:rPr>
        <w:t>–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 xml:space="preserve"> средство размещения наружной рекламы в виде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объемной или плоскостной конструкции, полностью или частично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размещаемое выше уровня карниза, отделяющего плоскость крыши от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вертикальной поверхности стены здания, или на крыше. Площадь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информационного поля определяется общей площадью его эксплуатируемых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сторон. Высота крышных установок должна быть: не более 1/6 части от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высоты фасада здания, со стороны которого размещается крышная установка,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при высоте фасада здания (от цоколя до кровли) до 15 метров включительно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не более 1/8 части от высоты фасада здания, со стороны которого размещается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крышная установка, при высоте фасада здания (от цоколя до кровли) свыше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15 метров до 50 метров включительно не более 1/10 части высоты фасада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здания, со стороны которого размещается крышная установка, при высоте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фасада здания (от цоколя до кровли) свыше 50 метров не более 1/6 части от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высоты фасада встроенно-пристроенной или пристроенной части здания, если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крышная установка устанавливается на крыше встроенно-пристроенной или</w:t>
      </w:r>
      <w:r w:rsidR="00B473D5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473D5">
        <w:rPr>
          <w:rFonts w:ascii="TimesNewRomanPSMT" w:hAnsi="TimesNewRomanPSMT" w:cs="TimesNewRomanPSMT"/>
          <w:bCs/>
          <w:sz w:val="28"/>
          <w:szCs w:val="28"/>
        </w:rPr>
        <w:t>пристроенной части основного здания.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Штендеры </w:t>
      </w:r>
      <w:r w:rsidR="00F62FCE" w:rsidRPr="00F62FCE">
        <w:rPr>
          <w:rFonts w:ascii="TimesNewRomanPSMT" w:hAnsi="TimesNewRomanPSMT" w:cs="TimesNewRomanPSMT"/>
          <w:bCs/>
          <w:sz w:val="28"/>
          <w:szCs w:val="28"/>
        </w:rPr>
        <w:t>–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 xml:space="preserve"> должны быть двусторонними, шириной не более 1 м, не должны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иметь собственного подсвета, площадь одной стороны не должна превышать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1,5 кв. м. Рекомендуется использование штендеров из натуральных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материалов с грифельным полем. Не допускается установка штендеров,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препятствующих проходу (проезду) по территории общего пользования, при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ширине тротуара менее 3 метров, а также ориентированных на восприятие с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проезжей части. Оформление разрешительной документации не требуется на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установку и эксплуатацию штендеров в пешеходных зонах и на тротуарах (у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прилегающей к зданию, сооружению стороны тротуара) в пределах трех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метров от входа в здание, сооружение. Размещение штендеров допускается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исключительно в часы работы организации.</w:t>
      </w:r>
    </w:p>
    <w:p w:rsidR="00F62FCE" w:rsidRPr="00F62FCE" w:rsidRDefault="00F62FCE" w:rsidP="00F62F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РАЗДЕЛ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АНШЛАГИ И УКАЗАТЕЛИ</w:t>
      </w:r>
    </w:p>
    <w:p w:rsidR="00F62FCE" w:rsidRDefault="00F62FCE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Ответственность за постоянное наличие, правильное размещение,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р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емонт и содержание аншлагов на фасадах зданий несут:</w:t>
      </w:r>
    </w:p>
    <w:p w:rsidR="00E64902" w:rsidRPr="00F62FCE" w:rsidRDefault="00F62FCE" w:rsidP="00F62FC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– 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на объектах иных форм собственности </w:t>
      </w:r>
      <w:r>
        <w:rPr>
          <w:rFonts w:ascii="TimesNewRomanPSMT" w:hAnsi="TimesNewRomanPSMT" w:cs="TimesNewRomanPSMT"/>
          <w:bCs/>
          <w:sz w:val="28"/>
          <w:szCs w:val="28"/>
        </w:rPr>
        <w:t>–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 собственники зданий;</w:t>
      </w:r>
    </w:p>
    <w:p w:rsidR="00E64902" w:rsidRPr="00F62FCE" w:rsidRDefault="00F62FCE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– 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на зданиях муниципального нежилого фонда </w:t>
      </w:r>
      <w:r>
        <w:rPr>
          <w:rFonts w:ascii="TimesNewRomanPSMT" w:hAnsi="TimesNewRomanPSMT" w:cs="TimesNewRomanPSMT"/>
          <w:bCs/>
          <w:sz w:val="28"/>
          <w:szCs w:val="28"/>
        </w:rPr>
        <w:t>–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 балансодержатели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>или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>арендаторы;</w:t>
      </w:r>
    </w:p>
    <w:p w:rsidR="00E64902" w:rsidRPr="00F62FCE" w:rsidRDefault="00F62FCE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– 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на зданиях муниципального жилого фонда </w:t>
      </w:r>
      <w:r>
        <w:rPr>
          <w:rFonts w:ascii="TimesNewRomanPSMT" w:hAnsi="TimesNewRomanPSMT" w:cs="TimesNewRomanPSMT"/>
          <w:bCs/>
          <w:sz w:val="28"/>
          <w:szCs w:val="28"/>
        </w:rPr>
        <w:t>–</w:t>
      </w:r>
      <w:r w:rsidR="00E64902" w:rsidRPr="00F62FCE">
        <w:rPr>
          <w:rFonts w:ascii="TimesNewRomanPSMT" w:hAnsi="TimesNewRomanPSMT" w:cs="TimesNewRomanPSMT"/>
          <w:bCs/>
          <w:sz w:val="28"/>
          <w:szCs w:val="28"/>
        </w:rPr>
        <w:t xml:space="preserve"> предприятия жилищно-коммунального хозяйства.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Аншлаг представляет собой таблички, на которых указываются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наименование территориальной единицы, порядковая нумерация здания,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графический идентификатор – QR-код (на объектах культурного наследия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(памятниках истории и культуры) и памятных местах города). Написание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территориальных единиц должно быть полным, за исключением слов,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обозначающих их характер: ул., пр., пер., пл., туп., бульв. (кроме слова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«проспект», которое пишется без сокращения).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Аншлаги устанавливаются на фасаде здания: на высоте 3 - 3,5 м от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уровня земли для многоэтажных зданий и 2,5 - 3 м от уровня земли для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одноэтажных зданий и объектов индивидуального жилищного строительства.</w:t>
      </w:r>
    </w:p>
    <w:p w:rsidR="00E64902" w:rsidRPr="00F62FCE" w:rsidRDefault="00E64902" w:rsidP="00BA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На расстоянии 25 - 30 см от левого угла для зданий, имеющих четные</w:t>
      </w:r>
      <w:r w:rsidR="00BA6AD1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номера, и с правой стороны для зданий, имеющих нечетные номера.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На зданиях, расположенных на перекрестках, аншлаги устанавливаются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 обеих сторон здания.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При большой протяженности здания через каждые 75 - 90 м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устанавливаются дополнительные аншлаги (по оси межоконного простенка на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высоте основных аншлагов).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Аншлаги с наступлением сумерек должны быть освещены.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Размещение аншлагов на объектах недвижимости</w:t>
      </w:r>
      <w:r w:rsidR="00F62FCE">
        <w:rPr>
          <w:rFonts w:ascii="TimesNewRomanPSMT" w:hAnsi="TimesNewRomanPSMT" w:cs="TimesNewRomanPSMT"/>
          <w:bCs/>
          <w:sz w:val="28"/>
          <w:szCs w:val="28"/>
        </w:rPr>
        <w:t>.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 xml:space="preserve"> подлежащих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государственной охране, как памятников регионального и федерального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значения, согласовывается с органом, уполномоченным в области охраны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памятников истории и культуры.</w:t>
      </w:r>
    </w:p>
    <w:p w:rsidR="00F62FCE" w:rsidRPr="00F62FCE" w:rsidRDefault="00F62FCE" w:rsidP="00E649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РАЗДЕЛ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ТРЕБОВАНИЯ К ВЫВЕСКАМ И ИХ РАЗМЕЩЕНИЮ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НА ОБЪЕКТАХ КУЛЬТУРНОГО НАСЛЕДИЯ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(ПАМЯТНИКАХ ИСТОРИИ И КУЛЬТУРЫ)</w:t>
      </w:r>
    </w:p>
    <w:p w:rsidR="00F62FCE" w:rsidRDefault="00F62FCE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Ответственность за соответствие требованиям, правильное размещение,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ремонт и содержание вывесок на фасадах зданий несут: лица, у которых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объекты культурного наследия находятся во владении и пользовании на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основании обязательственных прав, в том числе, на праве аренды лица,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имеющими ограниченные вещные права на объекты культурного наследия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собственники объектов культурного наследия.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Запрещается размещать вывески на элементах ландшафтного и садово-паркового искусства, на любых произведениях монументального искусства, на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живописных и мозаичных панно, витражах, фресках, гобеленах нарушать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предмет охраны объекта культурного наследия ухудшать условия,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необходимые для сохранности объекта культурного наследия изменять облик,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объемно-планировочные и конструктивные решения и структуры объекта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 xml:space="preserve">культурного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lastRenderedPageBreak/>
        <w:t>наследия наносить ущерб композиции, стилистике, отделке,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декоративному убранству фасада объекта культурного наследия.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Подлежат охране старые вывески, информационные надписи, аншлаги,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мозаичные панно, старинные двери, кованые козырьки.</w:t>
      </w:r>
    </w:p>
    <w:p w:rsidR="00F62FCE" w:rsidRDefault="00F62FCE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РАЗДЕЛ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РЕКОМЕНДАЦИИ ПО РЕШЕНИЯМ</w:t>
      </w:r>
      <w:r w:rsidR="00F62FCE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В ОБЛАСТИ БЛАГОУСТРОЙСТВА</w:t>
      </w:r>
    </w:p>
    <w:p w:rsidR="007E20C3" w:rsidRDefault="007E20C3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ГАРМОНИЯ И БАЛАНС.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КОВКА И МИНИМАЛИЗМ В БЛАГОУСТРОЙСТВЕ</w:t>
      </w:r>
    </w:p>
    <w:p w:rsidR="00E64902" w:rsidRDefault="00E64902" w:rsidP="00F62F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ГОРОДСКОЙ СРЕДЫ.</w:t>
      </w:r>
    </w:p>
    <w:p w:rsidR="00F62FCE" w:rsidRDefault="00F62FCE" w:rsidP="00F62F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Ковка является одной из визитных карточек города. Визуальная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составляющая кованых исторических козырьков логично продолжается в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оформлении лавочек, ограждений, ворот, урн как в исторической части города,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так и гармонично вписывается в кварталы новой застройки.</w:t>
      </w:r>
    </w:p>
    <w:p w:rsidR="00E64902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F62FCE">
        <w:rPr>
          <w:rFonts w:ascii="TimesNewRomanPSMT" w:hAnsi="TimesNewRomanPSMT" w:cs="TimesNewRomanPSMT"/>
          <w:bCs/>
          <w:sz w:val="28"/>
          <w:szCs w:val="28"/>
        </w:rPr>
        <w:t>Вместе с тем, реализованные проекты благоустройства территорий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общего пользования, находящийся в шаговой доступности показывают, что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современные решения (лавочки, урны, качели, оформление клумб) хорошо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сочетаются с окружением.</w:t>
      </w:r>
    </w:p>
    <w:p w:rsidR="00831A99" w:rsidRPr="00F62FCE" w:rsidRDefault="00E64902" w:rsidP="00F62FC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62FCE">
        <w:rPr>
          <w:rFonts w:ascii="TimesNewRomanPSMT" w:hAnsi="TimesNewRomanPSMT" w:cs="TimesNewRomanPSMT"/>
          <w:bCs/>
          <w:sz w:val="28"/>
          <w:szCs w:val="28"/>
        </w:rPr>
        <w:t>Таким образом, главная задача в вопросе формирования единого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стилевого пространства городской среды сельских поселений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района </w:t>
      </w:r>
      <w:r w:rsidR="00F62FCE">
        <w:rPr>
          <w:rFonts w:ascii="TimesNewRomanPSMT" w:hAnsi="TimesNewRomanPSMT" w:cs="TimesNewRomanPSMT"/>
          <w:bCs/>
          <w:sz w:val="28"/>
          <w:szCs w:val="28"/>
        </w:rPr>
        <w:t>–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 xml:space="preserve"> бережно относится к решениям, выполненным под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старину, и выдерживать единый подход к выбору материалов и форм при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формировании дальнейшего облика сельских поселений. В этом разделе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отражаются рекомендации на основе уже реализованных решений, в том числе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предпринимательским сообществом, тиражирование которых на всю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территорию сельских поселений позволит сформировать единый самобытный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облик сельских поселений муниципального района, в котором формируют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комфортную среду с использованием новых технологий, при этом уважая</w:t>
      </w:r>
      <w:r w:rsidR="00F62FCE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F62FCE">
        <w:rPr>
          <w:rFonts w:ascii="TimesNewRomanPSMT" w:hAnsi="TimesNewRomanPSMT" w:cs="TimesNewRomanPSMT"/>
          <w:bCs/>
          <w:sz w:val="28"/>
          <w:szCs w:val="28"/>
        </w:rPr>
        <w:t>историческое наследие.</w:t>
      </w:r>
    </w:p>
    <w:sectPr w:rsidR="00831A99" w:rsidRPr="00F62FCE" w:rsidSect="00E64902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0E4" w:rsidRDefault="00F800E4" w:rsidP="00A51968">
      <w:pPr>
        <w:spacing w:after="0" w:line="240" w:lineRule="auto"/>
      </w:pPr>
      <w:r>
        <w:separator/>
      </w:r>
    </w:p>
  </w:endnote>
  <w:endnote w:type="continuationSeparator" w:id="0">
    <w:p w:rsidR="00F800E4" w:rsidRDefault="00F800E4" w:rsidP="00A5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0E4" w:rsidRDefault="00F800E4" w:rsidP="00A51968">
      <w:pPr>
        <w:spacing w:after="0" w:line="240" w:lineRule="auto"/>
      </w:pPr>
      <w:r>
        <w:separator/>
      </w:r>
    </w:p>
  </w:footnote>
  <w:footnote w:type="continuationSeparator" w:id="0">
    <w:p w:rsidR="00F800E4" w:rsidRDefault="00F800E4" w:rsidP="00A5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968" w:rsidRDefault="00A51968" w:rsidP="00A51968">
    <w:pPr>
      <w:pStyle w:val="a7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02"/>
    <w:rsid w:val="0015651A"/>
    <w:rsid w:val="00184F28"/>
    <w:rsid w:val="00224192"/>
    <w:rsid w:val="0028449A"/>
    <w:rsid w:val="004455E0"/>
    <w:rsid w:val="0056010D"/>
    <w:rsid w:val="00580966"/>
    <w:rsid w:val="00742E12"/>
    <w:rsid w:val="00787FBE"/>
    <w:rsid w:val="007C570A"/>
    <w:rsid w:val="007E20C3"/>
    <w:rsid w:val="00831A99"/>
    <w:rsid w:val="00840F47"/>
    <w:rsid w:val="00965424"/>
    <w:rsid w:val="00A51968"/>
    <w:rsid w:val="00AC6B80"/>
    <w:rsid w:val="00B00DDD"/>
    <w:rsid w:val="00B473D5"/>
    <w:rsid w:val="00BA6AD1"/>
    <w:rsid w:val="00D06B57"/>
    <w:rsid w:val="00E64902"/>
    <w:rsid w:val="00F62FCE"/>
    <w:rsid w:val="00F64B0D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BFD8"/>
  <w15:chartTrackingRefBased/>
  <w15:docId w15:val="{DB0B841B-AFAD-4699-AE43-01802D0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5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5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968"/>
  </w:style>
  <w:style w:type="paragraph" w:styleId="a9">
    <w:name w:val="footer"/>
    <w:basedOn w:val="a"/>
    <w:link w:val="aa"/>
    <w:uiPriority w:val="99"/>
    <w:unhideWhenUsed/>
    <w:rsid w:val="00A5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13</cp:revision>
  <cp:lastPrinted>2024-10-30T06:20:00Z</cp:lastPrinted>
  <dcterms:created xsi:type="dcterms:W3CDTF">2024-10-29T07:50:00Z</dcterms:created>
  <dcterms:modified xsi:type="dcterms:W3CDTF">2025-05-15T10:20:00Z</dcterms:modified>
</cp:coreProperties>
</file>