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702C" w:rsidRPr="000D702C" w:rsidRDefault="000D702C" w:rsidP="000D70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                                                          </w:t>
      </w:r>
      <w:r w:rsidRPr="000D702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06168288" wp14:editId="289A3C74">
            <wp:extent cx="728980" cy="72898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02C" w:rsidRPr="000D702C" w:rsidRDefault="000D702C" w:rsidP="000D7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proofErr w:type="gramStart"/>
      <w:r w:rsidRPr="000D702C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РЕСПУБЛИКА  ДАГЕСТАН</w:t>
      </w:r>
      <w:proofErr w:type="gramEnd"/>
    </w:p>
    <w:p w:rsidR="000D702C" w:rsidRPr="000D702C" w:rsidRDefault="000D702C" w:rsidP="000D7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0D702C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 xml:space="preserve"> </w:t>
      </w:r>
      <w:proofErr w:type="gramStart"/>
      <w:r w:rsidRPr="000D702C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муниципальное  образование</w:t>
      </w:r>
      <w:proofErr w:type="gramEnd"/>
      <w:r w:rsidRPr="000D702C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 xml:space="preserve">   </w:t>
      </w:r>
    </w:p>
    <w:p w:rsidR="000D702C" w:rsidRPr="000D702C" w:rsidRDefault="000D702C" w:rsidP="000D7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0D702C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«</w:t>
      </w:r>
      <w:proofErr w:type="gramStart"/>
      <w:r w:rsidRPr="000D702C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Бабаюртовский  район</w:t>
      </w:r>
      <w:proofErr w:type="gramEnd"/>
      <w:r w:rsidRPr="000D702C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»</w:t>
      </w:r>
    </w:p>
    <w:p w:rsidR="000D702C" w:rsidRPr="000D702C" w:rsidRDefault="000D702C" w:rsidP="000D7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</w:pPr>
      <w:r w:rsidRPr="000D702C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  <w:t>Собрание депутатов муниципального района</w:t>
      </w:r>
    </w:p>
    <w:p w:rsidR="000D702C" w:rsidRPr="000D702C" w:rsidRDefault="000D702C" w:rsidP="000D70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D702C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28575" t="29210" r="28575" b="37465"/>
                <wp:wrapNone/>
                <wp:docPr id="600682340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B411F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" strokeweight="4.5pt">
                <v:stroke linestyle="thickThin"/>
              </v:line>
            </w:pict>
          </mc:Fallback>
        </mc:AlternateContent>
      </w:r>
      <w:r w:rsidRPr="000D70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</w:t>
      </w:r>
    </w:p>
    <w:p w:rsidR="000D702C" w:rsidRPr="000D702C" w:rsidRDefault="000D702C" w:rsidP="000D702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0D702C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с.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Бабаюрт  ул.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Ленина  №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29                                  тел (87247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)  2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-13-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31  факс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2-13-31</w:t>
      </w:r>
    </w:p>
    <w:p w:rsidR="000D702C" w:rsidRPr="000D702C" w:rsidRDefault="000D702C" w:rsidP="000D702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D702C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7465" t="33020" r="29210" b="33655"/>
                <wp:wrapNone/>
                <wp:docPr id="21875092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49890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" strokeweight="4.5pt">
                <v:stroke linestyle="thickThin"/>
              </v:line>
            </w:pict>
          </mc:Fallback>
        </mc:AlternateContent>
      </w:r>
      <w:r w:rsidRPr="000D70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0D70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0D70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0D70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0D70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0D70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>РЕШЕНИЕ</w:t>
      </w:r>
    </w:p>
    <w:p w:rsidR="000D702C" w:rsidRPr="000D702C" w:rsidRDefault="000D702C" w:rsidP="000D702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proofErr w:type="gramStart"/>
      <w:r w:rsidRPr="000D70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12  февраля</w:t>
      </w:r>
      <w:proofErr w:type="gramEnd"/>
      <w:r w:rsidRPr="000D70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2019года</w:t>
      </w:r>
      <w:r w:rsidRPr="000D70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0D70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0D70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0D70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0D70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0D70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0D70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0D70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  <w:t xml:space="preserve">№282 -6РС </w:t>
      </w:r>
    </w:p>
    <w:p w:rsidR="000D702C" w:rsidRPr="000D702C" w:rsidRDefault="000D702C" w:rsidP="000D702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0D702C" w:rsidRPr="000D702C" w:rsidRDefault="000D702C" w:rsidP="000D702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D70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 внесения изменений и дополнений в Положение о порядке работы с обращениями граждан в органы местного самоуправления муниципального образования «Бабаюртовский район» от 13.04.2009 года №170-4РС</w:t>
      </w:r>
    </w:p>
    <w:p w:rsidR="000D702C" w:rsidRPr="000D702C" w:rsidRDefault="000D702C" w:rsidP="000D702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0D70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ab/>
      </w:r>
    </w:p>
    <w:p w:rsidR="000D702C" w:rsidRPr="000D702C" w:rsidRDefault="000D702C" w:rsidP="000D702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D70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В </w:t>
      </w:r>
      <w:proofErr w:type="gramStart"/>
      <w:r w:rsidRPr="000D70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соответствии</w:t>
      </w:r>
      <w:r w:rsidRPr="000D702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0D70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</w:t>
      </w:r>
      <w:proofErr w:type="gramEnd"/>
      <w:r w:rsidRPr="000D70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Федеральными законами от 02 мая 2006 года № 59-ФЗ "О порядке рассмотрения обращений граждан Российской Федерации", от 06 октября 2003 года № 131-ФЗ «Об общих принципах организации местного самоуправления в Российской Федерации», руководствуясь статьей 21Устава </w:t>
      </w:r>
      <w:proofErr w:type="gramStart"/>
      <w:r w:rsidRPr="000D70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 района</w:t>
      </w:r>
      <w:proofErr w:type="gramEnd"/>
      <w:r w:rsidRPr="000D70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«Бабаюртовский район», Собрание депутатов муниципального района «Бабаюртовский район» решает:</w:t>
      </w:r>
    </w:p>
    <w:p w:rsidR="000D702C" w:rsidRPr="000D702C" w:rsidRDefault="000D702C" w:rsidP="000D702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ru-RU"/>
          <w14:ligatures w14:val="none"/>
        </w:rPr>
        <w:t>I</w:t>
      </w:r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.В Положение о порядке работы с обращениями граждан в органы местного самоуправления муниципального образования «Бабаюртовский район», принятым Собранием депутатов муниципального района «Бабаюртовский район» от 13.04.2009 года №170-4РС внести следующие изменения и дополнения:</w:t>
      </w:r>
    </w:p>
    <w:p w:rsidR="000D702C" w:rsidRPr="000D702C" w:rsidRDefault="000D702C" w:rsidP="000D702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0D70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1.</w:t>
      </w:r>
      <w:r w:rsidRPr="000D70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Статью 1 изложить в следующей редакции:</w:t>
      </w:r>
      <w:r w:rsidRPr="000D70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«Статья 1.  Основные понятия и термины, используемые в настоящем Положении</w:t>
      </w:r>
    </w:p>
    <w:p w:rsidR="000D702C" w:rsidRPr="000D702C" w:rsidRDefault="000D702C" w:rsidP="000D702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0D702C"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ab/>
      </w:r>
      <w:r w:rsidRPr="000D702C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 xml:space="preserve">1.1. </w:t>
      </w:r>
      <w:r w:rsidRPr="000D702C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Граждане</w:t>
      </w:r>
      <w:r w:rsidRPr="000D70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граждане Российской Федерации, иностранные граждане и лица без гражданства, постоянно или временно проживающие на территории муниципального образования «Бабаюртовский район»;</w:t>
      </w:r>
    </w:p>
    <w:p w:rsidR="000D702C" w:rsidRPr="000D702C" w:rsidRDefault="000D702C" w:rsidP="000D702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702C"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ab/>
        <w:t>1.</w:t>
      </w:r>
      <w:proofErr w:type="gramStart"/>
      <w:r w:rsidRPr="000D702C"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2.Обращение</w:t>
      </w:r>
      <w:proofErr w:type="gramEnd"/>
      <w:r w:rsidRPr="000D702C"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0D702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 </w:t>
      </w:r>
      <w:r w:rsidRPr="000D70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индивидуальное или коллективное предложение, заявле</w:t>
      </w:r>
      <w:r w:rsidRPr="000D70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oftHyphen/>
        <w:t>ние, жалоба, ходатайство, изложенные гражданином в письменной или уст</w:t>
      </w:r>
      <w:r w:rsidRPr="000D70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oftHyphen/>
        <w:t>ной форме на личном приеме по решению вопросов местного значения.</w:t>
      </w:r>
    </w:p>
    <w:p w:rsidR="000D702C" w:rsidRPr="000D702C" w:rsidRDefault="000D702C" w:rsidP="000D702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702C"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ab/>
        <w:t>1.</w:t>
      </w:r>
      <w:proofErr w:type="gramStart"/>
      <w:r w:rsidRPr="000D702C"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3.Предложение</w:t>
      </w:r>
      <w:proofErr w:type="gramEnd"/>
      <w:r w:rsidRPr="000D702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0D70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обращение конкретного характера, направленное на улучшение организации деятельности органов местного самоуправления и (или) должностных лиц местного самоуправления, на решение вопросов экономической, политической, социально-экономической, культурной и другой деятельности органов местного самоуправления.</w:t>
      </w:r>
    </w:p>
    <w:p w:rsidR="000D702C" w:rsidRPr="000D702C" w:rsidRDefault="000D702C" w:rsidP="000D702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702C"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ab/>
        <w:t>1.</w:t>
      </w:r>
      <w:proofErr w:type="gramStart"/>
      <w:r w:rsidRPr="000D702C"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4.Заявление</w:t>
      </w:r>
      <w:proofErr w:type="gramEnd"/>
      <w:r w:rsidRPr="000D702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0D70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обращение гражданина, направленное на реализацию прав и охраняемых законом интересов заявителя органами местного самоуправ</w:t>
      </w:r>
      <w:r w:rsidRPr="000D70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oftHyphen/>
        <w:t>ления и (или) должностными лицами местного самоуправления.</w:t>
      </w:r>
    </w:p>
    <w:p w:rsidR="000D702C" w:rsidRPr="000D702C" w:rsidRDefault="000D702C" w:rsidP="000D702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702C"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ab/>
        <w:t>1.5. Жалоба</w:t>
      </w:r>
      <w:r w:rsidRPr="000D702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0D70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обращение гражданина по поводу нарушения его прав и ох</w:t>
      </w:r>
      <w:r w:rsidRPr="000D70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oftHyphen/>
        <w:t>раняемых законом интересов, допущенного решением, действием (бездей</w:t>
      </w:r>
      <w:r w:rsidRPr="000D70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oftHyphen/>
        <w:t>ствием) органов местного самоуправления и (или) должностных лиц мест</w:t>
      </w:r>
      <w:r w:rsidRPr="000D70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oftHyphen/>
        <w:t>ного самоуправления.</w:t>
      </w:r>
    </w:p>
    <w:p w:rsidR="000D702C" w:rsidRPr="000D702C" w:rsidRDefault="000D702C" w:rsidP="000D702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702C"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ab/>
        <w:t>1.6. Ходатайство</w:t>
      </w:r>
      <w:r w:rsidRPr="000D702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0D70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обращение гражданина о признании определенного ста</w:t>
      </w:r>
      <w:r w:rsidRPr="000D70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oftHyphen/>
        <w:t>туса, прав и свобод, изложенное в письменном виде, подаваемое в случаях, прямо установленных действующим законодательством.</w:t>
      </w:r>
    </w:p>
    <w:p w:rsidR="000D702C" w:rsidRPr="000D702C" w:rsidRDefault="000D702C" w:rsidP="000D702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702C"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ab/>
        <w:t>1.</w:t>
      </w:r>
      <w:proofErr w:type="gramStart"/>
      <w:r w:rsidRPr="000D702C"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7.Коллективное</w:t>
      </w:r>
      <w:proofErr w:type="gramEnd"/>
      <w:r w:rsidRPr="000D702C"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обращение</w:t>
      </w:r>
      <w:r w:rsidRPr="000D702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0D70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обращение двух и более граждан, а также обращение, принятое на собраниях, конференциях и иных публичных меро</w:t>
      </w:r>
      <w:r w:rsidRPr="000D70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oftHyphen/>
        <w:t>приятиях.</w:t>
      </w:r>
    </w:p>
    <w:p w:rsidR="000D702C" w:rsidRPr="000D702C" w:rsidRDefault="000D702C" w:rsidP="000D702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702C"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ab/>
        <w:t>1.</w:t>
      </w:r>
      <w:proofErr w:type="gramStart"/>
      <w:r w:rsidRPr="000D702C"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8.Органы</w:t>
      </w:r>
      <w:proofErr w:type="gramEnd"/>
      <w:r w:rsidRPr="000D702C"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местного самоуправления</w:t>
      </w:r>
      <w:r w:rsidRPr="000D70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– Собрание депутатов муниципального района (далее - Собрание), Глава муниципального района, администрация муниципального района (далее - администрация), контрольно-счетная палата муниципального района (далее - КСП).</w:t>
      </w:r>
    </w:p>
    <w:p w:rsidR="000D702C" w:rsidRPr="000D702C" w:rsidRDefault="000D702C" w:rsidP="000D702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702C"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ab/>
        <w:t>1.</w:t>
      </w:r>
      <w:proofErr w:type="gramStart"/>
      <w:r w:rsidRPr="000D702C"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9.Должностное</w:t>
      </w:r>
      <w:proofErr w:type="gramEnd"/>
      <w:r w:rsidRPr="000D702C"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лицо</w:t>
      </w:r>
      <w:r w:rsidRPr="000D70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- лицо, постоянно или временно осуществляющее в органах местного самоуправления функции, связанные с выполнением ор</w:t>
      </w:r>
      <w:r w:rsidRPr="000D70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oftHyphen/>
        <w:t>ганизационно - распорядительных или административно - хозяйственных обязанностей, или выполняющие такие обязанности в указанных органах по специальному полномочию.</w:t>
      </w:r>
    </w:p>
    <w:p w:rsidR="000D702C" w:rsidRPr="000D702C" w:rsidRDefault="000D702C" w:rsidP="000D702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</w:pPr>
      <w:r w:rsidRPr="000D70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2. Части 2.3., 2.4.1., 2.4.3.  в статье 2:</w:t>
      </w:r>
    </w:p>
    <w:p w:rsidR="000D702C" w:rsidRPr="000D702C" w:rsidRDefault="000D702C" w:rsidP="000D702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D70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0D70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1) часть 2.3. изложить в следующей редакции:</w:t>
      </w:r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«2.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3.Организационно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-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техническое  обеспечение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рассмотрения  устных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  письменных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обращений,  поступивших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от  граждан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  адрес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Собрания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осуществляет  аппарат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Собрания, Главы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муниципального  района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  администрации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- Управление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делами  администрации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муниципального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района ,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КСП - аппарат КСП. </w:t>
      </w:r>
    </w:p>
    <w:p w:rsidR="000D702C" w:rsidRPr="000D702C" w:rsidRDefault="000D702C" w:rsidP="000D702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 xml:space="preserve">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Направление  обращений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граждан и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документов  в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адрес  Собрание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, Главы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муниципального  района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  администрации,  КСП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осуществляется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только  через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Управление  делами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администрации.»; </w:t>
      </w:r>
    </w:p>
    <w:p w:rsidR="000D702C" w:rsidRPr="000D702C" w:rsidRDefault="000D702C" w:rsidP="000D702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0D70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2) часть 2.4.1. изложить в следующей редакции: «</w:t>
      </w:r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2.4.1. В Собрании - на депутатов Собрания, работающих на постоянной основе;»; </w:t>
      </w:r>
    </w:p>
    <w:p w:rsidR="000D702C" w:rsidRPr="000D702C" w:rsidRDefault="000D702C" w:rsidP="000D702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0D70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 xml:space="preserve">3) часть 2.4.3. изложить в следующей </w:t>
      </w:r>
      <w:proofErr w:type="gramStart"/>
      <w:r w:rsidRPr="000D70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редакции:</w:t>
      </w:r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«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2.4.3. В КСП – на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инспекторов  КСП. »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:rsidR="000D702C" w:rsidRPr="000D702C" w:rsidRDefault="000D702C" w:rsidP="000D702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</w:pPr>
      <w:r w:rsidRPr="000D70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3. В статье 3:</w:t>
      </w:r>
    </w:p>
    <w:p w:rsidR="000D702C" w:rsidRPr="000D702C" w:rsidRDefault="000D702C" w:rsidP="000D702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</w:pPr>
      <w:r w:rsidRPr="000D70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0D70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1)  слово «Комиссии» заменить словом «КСП»»;</w:t>
      </w:r>
    </w:p>
    <w:p w:rsidR="000D702C" w:rsidRPr="000D702C" w:rsidRDefault="000D702C" w:rsidP="000D702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D70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0D70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2) часть 3.9. изложить в следующей редакции:</w:t>
      </w:r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«3.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9.Ответ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на обращение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подписывается  Главой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муниципального района,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руководителями  органов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местного  самоуправления,  должностными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лицами  либо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уполномоченными  на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то  лицами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.».</w:t>
      </w:r>
    </w:p>
    <w:p w:rsidR="000D702C" w:rsidRPr="000D702C" w:rsidRDefault="000D702C" w:rsidP="000D702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</w:pPr>
      <w:r w:rsidRPr="000D70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4. В статье 4:</w:t>
      </w:r>
    </w:p>
    <w:p w:rsidR="000D702C" w:rsidRPr="000D702C" w:rsidRDefault="000D702C" w:rsidP="000D702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D70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0D70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1) часть 4.1. изложить в следующей редакции</w:t>
      </w:r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: «4.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1.Письма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депутатов Государственной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Думы,  депутатов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Народного  Собрания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 xml:space="preserve">Республики Дагестан,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  которым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приложены  обращения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граждан,  рассматриваются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  первоочередном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порядке.    </w:t>
      </w:r>
    </w:p>
    <w:p w:rsidR="000D702C" w:rsidRPr="000D702C" w:rsidRDefault="000D702C" w:rsidP="000D702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Ответы  на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данные  письма,  поставленные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  контроль,  подписываются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Главой муниципального района и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Председателем  Собрание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». </w:t>
      </w:r>
    </w:p>
    <w:p w:rsidR="000D702C" w:rsidRPr="000D702C" w:rsidRDefault="000D702C" w:rsidP="000D702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D70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5.  Второй абзац части 5.4.  статьи 5 изложить в следующей редакции</w:t>
      </w:r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: «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Решение  о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продлении  срока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рассмотрения  такого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обращения  принимается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Главой    муниципального района или    заместителями главы администрации.» </w:t>
      </w:r>
    </w:p>
    <w:p w:rsidR="000D702C" w:rsidRPr="000D702C" w:rsidRDefault="000D702C" w:rsidP="000D702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D70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6. Часть 6.5. статьи 6 изложить в следующей редакции:</w:t>
      </w:r>
      <w:r w:rsidRPr="000D70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«6.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5.Если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  ответе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заявителю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указывается  только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срок  решения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вопросов,  содержащихся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  обращении,  то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обращение  может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быть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поставлено  на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дополнительный  контроль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После  выполнения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принятых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мер  по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обращению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Главы  муниципального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района,  Председателя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Собрания, Председателя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КСП,  заместителей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главы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администрации,  должностное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лицо  или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уполномоченное  на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то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лицо,  которое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рассматривало 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данное  обращение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,      на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основе  представленной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информации  принимают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решение  о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снятии обращения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  дополнительного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контроля.».</w:t>
      </w:r>
    </w:p>
    <w:p w:rsidR="000D702C" w:rsidRPr="000D702C" w:rsidRDefault="000D702C" w:rsidP="000D702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D70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 xml:space="preserve">7. В статье </w:t>
      </w:r>
      <w:proofErr w:type="gramStart"/>
      <w:r w:rsidRPr="000D70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7  части</w:t>
      </w:r>
      <w:proofErr w:type="gramEnd"/>
      <w:r w:rsidRPr="000D70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 xml:space="preserve"> 7.1. и 7.2. изложить в следующей редакции: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:lang w:eastAsia="ru-RU"/>
          <w14:ligatures w14:val="none"/>
        </w:rPr>
        <w:t>«</w:t>
      </w:r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7.1.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Личный  прием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граждан  проводится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Главой  муниципального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района, Председателем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Собрания,  заместителями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главы администрации, Председателем КСП,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руководителями  структурных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подразделений  администрации,  иных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органов  местного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самоуправления.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Информация  об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установленных  днях,  часах,  месте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приема  доводится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до  сведения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граждан. </w:t>
      </w:r>
    </w:p>
    <w:p w:rsidR="000D702C" w:rsidRPr="000D702C" w:rsidRDefault="000D702C" w:rsidP="000D702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7.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2.Организационно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-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техническое  обеспечение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личного  приема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граждан,  проводимого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Главой  муниципального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района и   заместителями главы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администрации,  контроль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за  исполнением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их  поручений,  данных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во  время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личного  приема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граждан,  осуществляет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Управление  делами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администрации. </w:t>
      </w:r>
    </w:p>
    <w:p w:rsidR="000D702C" w:rsidRPr="000D702C" w:rsidRDefault="000D702C" w:rsidP="000D702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 xml:space="preserve">Организационно-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техническое  обеспечение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личного  приема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граждан,  проводимого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Председателем Собрания,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контроль  за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исполнением  его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поручений,  данных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во  время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личного  приема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граждан  осуществляет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аппарат Собрания.</w:t>
      </w:r>
    </w:p>
    <w:p w:rsidR="000D702C" w:rsidRPr="000D702C" w:rsidRDefault="000D702C" w:rsidP="000D702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 xml:space="preserve">Организационно-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техническое  обеспечение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личного  приема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граждан,  проводимого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Председателем КСП,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контроль  за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исполнением  его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поручений,  данных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во  время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личного  приема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граждан  осуществляет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аппарат КСП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</w:t>
      </w:r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:lang w:eastAsia="ru-RU"/>
          <w14:ligatures w14:val="none"/>
        </w:rPr>
        <w:t>»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:lang w:eastAsia="ru-RU"/>
          <w14:ligatures w14:val="none"/>
        </w:rPr>
        <w:t>.</w:t>
      </w:r>
    </w:p>
    <w:p w:rsidR="000D702C" w:rsidRPr="000D702C" w:rsidRDefault="000D702C" w:rsidP="000D702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D70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 xml:space="preserve"> Статью 8 изложить в следующей редакции:</w:t>
      </w:r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«Статья8.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Аналитическая  и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информационно-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справочная  работа</w:t>
      </w:r>
      <w:proofErr w:type="gramEnd"/>
    </w:p>
    <w:p w:rsidR="000D702C" w:rsidRPr="000D702C" w:rsidRDefault="000D702C" w:rsidP="000D702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8.1.С  целью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устранения  причин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нарушения  прав,  свобод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  законных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интересов  граждан,  изучения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общественного  мнения,  совершенствование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работы  с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обращениями  граждан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  структурных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подразделениях  органов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местного  самоуправления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систематически  проводится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анализ  и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обобщение  поступивших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от  населения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предложений,  заявлений,  жалоб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</w:t>
      </w:r>
    </w:p>
    <w:p w:rsidR="000D702C" w:rsidRPr="000D702C" w:rsidRDefault="000D702C" w:rsidP="000D702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ab/>
        <w:t xml:space="preserve">8.2.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Управление  делами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администрации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ежемесячно  осуществляет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подготовку  информации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  количестве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  характере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вопросов,  которые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ставят  граждане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  обращениях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для  доклада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Главе  муниципального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района.</w:t>
      </w:r>
    </w:p>
    <w:p w:rsidR="000D702C" w:rsidRPr="000D702C" w:rsidRDefault="000D702C" w:rsidP="000D702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8.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3.Ответственные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работники  структурных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подразделений органов местного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самоуправления  представляют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заявителям  информацию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  результатах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рассмотрения  их</w:t>
      </w:r>
      <w:proofErr w:type="gram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обращений.».</w:t>
      </w:r>
    </w:p>
    <w:p w:rsidR="000D702C" w:rsidRPr="000D702C" w:rsidRDefault="000D702C" w:rsidP="000D702C">
      <w:pPr>
        <w:spacing w:after="0" w:line="240" w:lineRule="auto"/>
        <w:rPr>
          <w:rFonts w:ascii="Arial Narrow" w:eastAsia="Times New Roman" w:hAnsi="Arial Narrow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0D702C" w:rsidRPr="000D702C" w:rsidRDefault="000D702C" w:rsidP="000D702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D70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Председатель Собрания депутатов</w:t>
      </w:r>
    </w:p>
    <w:p w:rsidR="000D702C" w:rsidRPr="000D702C" w:rsidRDefault="000D702C" w:rsidP="000D702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D70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муниципального района                            </w:t>
      </w:r>
      <w:r w:rsidRPr="000D70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0D70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  <w:t xml:space="preserve">       </w:t>
      </w:r>
      <w:r w:rsidRPr="000D70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  <w:t xml:space="preserve">А. А. </w:t>
      </w:r>
      <w:proofErr w:type="spellStart"/>
      <w:r w:rsidRPr="000D70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Акмурзаев</w:t>
      </w:r>
      <w:proofErr w:type="spellEnd"/>
      <w:r w:rsidRPr="000D70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:rsidR="000D702C" w:rsidRPr="000D702C" w:rsidRDefault="000D702C" w:rsidP="000D702C">
      <w:pPr>
        <w:keepNext/>
        <w:keepLines/>
        <w:spacing w:before="480" w:after="0" w:line="240" w:lineRule="auto"/>
        <w:outlineLvl w:val="0"/>
        <w:rPr>
          <w:rFonts w:ascii="Cambria" w:eastAsia="Times New Roman" w:hAnsi="Cambria" w:cs="Times New Roman"/>
          <w:b/>
          <w:bCs/>
          <w:spacing w:val="15"/>
          <w:kern w:val="0"/>
          <w:sz w:val="28"/>
          <w:szCs w:val="28"/>
          <w:lang w:eastAsia="ru-RU"/>
          <w14:ligatures w14:val="none"/>
        </w:rPr>
      </w:pPr>
      <w:r w:rsidRPr="000D702C">
        <w:rPr>
          <w:rFonts w:ascii="Cambria" w:eastAsia="Times New Roman" w:hAnsi="Cambria" w:cs="Times New Roman"/>
          <w:b/>
          <w:kern w:val="0"/>
          <w:sz w:val="28"/>
          <w:szCs w:val="28"/>
          <w:lang w:eastAsia="ru-RU"/>
          <w14:ligatures w14:val="none"/>
        </w:rPr>
        <w:t>Глава</w:t>
      </w:r>
      <w:r w:rsidRPr="000D702C"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муниципального района</w:t>
      </w:r>
      <w:r w:rsidRPr="000D702C">
        <w:rPr>
          <w:rFonts w:ascii="Cambria" w:eastAsia="Times New Roman" w:hAnsi="Cambria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0D702C">
        <w:rPr>
          <w:rFonts w:ascii="Cambria" w:eastAsia="Times New Roman" w:hAnsi="Cambria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0D702C">
        <w:rPr>
          <w:rFonts w:ascii="Cambria" w:eastAsia="Times New Roman" w:hAnsi="Cambria" w:cs="Times New Roman"/>
          <w:b/>
          <w:spacing w:val="-3"/>
          <w:kern w:val="0"/>
          <w:sz w:val="28"/>
          <w:szCs w:val="28"/>
          <w:lang w:eastAsia="ru-RU"/>
          <w14:ligatures w14:val="none"/>
        </w:rPr>
        <w:t xml:space="preserve">                 </w:t>
      </w:r>
      <w:r w:rsidRPr="000D702C">
        <w:rPr>
          <w:rFonts w:ascii="Cambria" w:eastAsia="Times New Roman" w:hAnsi="Cambria" w:cs="Times New Roman"/>
          <w:b/>
          <w:spacing w:val="-3"/>
          <w:kern w:val="0"/>
          <w:sz w:val="28"/>
          <w:szCs w:val="28"/>
          <w:lang w:eastAsia="ru-RU"/>
          <w14:ligatures w14:val="none"/>
        </w:rPr>
        <w:tab/>
      </w:r>
      <w:r w:rsidRPr="000D702C">
        <w:rPr>
          <w:rFonts w:ascii="Cambria" w:eastAsia="Times New Roman" w:hAnsi="Cambria" w:cs="Times New Roman"/>
          <w:b/>
          <w:spacing w:val="-3"/>
          <w:kern w:val="0"/>
          <w:sz w:val="28"/>
          <w:szCs w:val="28"/>
          <w:lang w:eastAsia="ru-RU"/>
          <w14:ligatures w14:val="none"/>
        </w:rPr>
        <w:tab/>
      </w:r>
      <w:r w:rsidRPr="000D702C">
        <w:rPr>
          <w:rFonts w:ascii="Cambria" w:eastAsia="Times New Roman" w:hAnsi="Cambria" w:cs="Times New Roman"/>
          <w:b/>
          <w:spacing w:val="-3"/>
          <w:kern w:val="0"/>
          <w:sz w:val="28"/>
          <w:szCs w:val="28"/>
          <w:lang w:eastAsia="ru-RU"/>
          <w14:ligatures w14:val="none"/>
        </w:rPr>
        <w:tab/>
      </w:r>
      <w:proofErr w:type="spellStart"/>
      <w:r w:rsidRPr="000D702C">
        <w:rPr>
          <w:rFonts w:ascii="Cambria" w:eastAsia="Times New Roman" w:hAnsi="Cambria" w:cs="Times New Roman"/>
          <w:b/>
          <w:spacing w:val="-3"/>
          <w:kern w:val="0"/>
          <w:sz w:val="28"/>
          <w:szCs w:val="28"/>
          <w:lang w:eastAsia="ru-RU"/>
          <w14:ligatures w14:val="none"/>
        </w:rPr>
        <w:t>Э.Г.Карагишиев</w:t>
      </w:r>
      <w:proofErr w:type="spellEnd"/>
      <w:r w:rsidRPr="000D702C">
        <w:rPr>
          <w:rFonts w:ascii="Cambria" w:eastAsia="Times New Roman" w:hAnsi="Cambria" w:cs="Times New Roman"/>
          <w:b/>
          <w:spacing w:val="-3"/>
          <w:kern w:val="0"/>
          <w:sz w:val="28"/>
          <w:szCs w:val="28"/>
          <w:lang w:eastAsia="ru-RU"/>
          <w14:ligatures w14:val="none"/>
        </w:rPr>
        <w:t xml:space="preserve">              </w:t>
      </w:r>
    </w:p>
    <w:p w:rsidR="000D702C" w:rsidRPr="000D702C" w:rsidRDefault="000D702C" w:rsidP="000D702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3921BD" w:rsidRDefault="003921BD"/>
    <w:sectPr w:rsidR="0039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2C"/>
    <w:rsid w:val="000D702C"/>
    <w:rsid w:val="00320B68"/>
    <w:rsid w:val="003921BD"/>
    <w:rsid w:val="006F03E0"/>
    <w:rsid w:val="00B87323"/>
    <w:rsid w:val="00FC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68FD"/>
  <w15:chartTrackingRefBased/>
  <w15:docId w15:val="{EF49EC67-2BF7-4BFF-B490-E224FE26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70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0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0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0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0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0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0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0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7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70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702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702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70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70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70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70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70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D7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0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7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7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70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70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702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7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702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D7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1178</Words>
  <Characters>6716</Characters>
  <Application>Microsoft Office Word</Application>
  <DocSecurity>0</DocSecurity>
  <Lines>55</Lines>
  <Paragraphs>15</Paragraphs>
  <ScaleCrop>false</ScaleCrop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Адильхан Гаджиев</cp:lastModifiedBy>
  <cp:revision>1</cp:revision>
  <dcterms:created xsi:type="dcterms:W3CDTF">2025-05-14T11:11:00Z</dcterms:created>
  <dcterms:modified xsi:type="dcterms:W3CDTF">2025-05-14T11:12:00Z</dcterms:modified>
</cp:coreProperties>
</file>